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3B" w:rsidRPr="00A72869" w:rsidRDefault="00B10C8E" w:rsidP="00A72869">
      <w:pPr>
        <w:jc w:val="center"/>
        <w:rPr>
          <w:rFonts w:ascii="Times New Roman" w:hAnsi="Times New Roman" w:cs="Times New Roman"/>
          <w:b/>
          <w:sz w:val="28"/>
          <w:szCs w:val="28"/>
        </w:rPr>
      </w:pPr>
      <w:r w:rsidRPr="00A72869">
        <w:rPr>
          <w:rFonts w:ascii="Times New Roman" w:hAnsi="Times New Roman" w:cs="Times New Roman"/>
          <w:b/>
          <w:sz w:val="28"/>
          <w:szCs w:val="28"/>
        </w:rPr>
        <w:t>Вниманию работодателей!</w:t>
      </w:r>
    </w:p>
    <w:p w:rsidR="00B10C8E" w:rsidRPr="00B10C8E" w:rsidRDefault="00B10C8E" w:rsidP="00A72869">
      <w:pPr>
        <w:spacing w:after="0" w:line="240" w:lineRule="auto"/>
        <w:jc w:val="both"/>
        <w:rPr>
          <w:rFonts w:ascii="Times New Roman" w:eastAsia="Times New Roman" w:hAnsi="Times New Roman" w:cs="Times New Roman"/>
          <w:color w:val="0C0C0C"/>
          <w:sz w:val="28"/>
          <w:szCs w:val="28"/>
          <w:lang w:eastAsia="ru-RU"/>
        </w:rPr>
      </w:pPr>
      <w:r w:rsidRPr="00B10C8E">
        <w:rPr>
          <w:rFonts w:ascii="Times New Roman" w:eastAsia="Times New Roman" w:hAnsi="Times New Roman" w:cs="Times New Roman"/>
          <w:color w:val="0C0C0C"/>
          <w:sz w:val="28"/>
          <w:szCs w:val="28"/>
          <w:lang w:eastAsia="ru-RU"/>
        </w:rPr>
        <w:t xml:space="preserve">Об Указе Главы Республики Саха (Якутия) № </w:t>
      </w:r>
      <w:proofErr w:type="gramStart"/>
      <w:r w:rsidRPr="00B10C8E">
        <w:rPr>
          <w:rFonts w:ascii="Times New Roman" w:eastAsia="Times New Roman" w:hAnsi="Times New Roman" w:cs="Times New Roman"/>
          <w:color w:val="0C0C0C"/>
          <w:sz w:val="28"/>
          <w:szCs w:val="28"/>
          <w:lang w:eastAsia="ru-RU"/>
        </w:rPr>
        <w:t>220  «</w:t>
      </w:r>
      <w:proofErr w:type="gramEnd"/>
      <w:r w:rsidRPr="00B10C8E">
        <w:rPr>
          <w:rFonts w:ascii="Times New Roman" w:eastAsia="Times New Roman" w:hAnsi="Times New Roman" w:cs="Times New Roman"/>
          <w:color w:val="0C0C0C"/>
          <w:sz w:val="28"/>
          <w:szCs w:val="28"/>
          <w:lang w:eastAsia="ru-RU"/>
        </w:rPr>
        <w:t>Об установлении на 2024 год запрета на привлечение хозяйствующими субъектами, осуществляющими деятельность на территории Республики Саха (Якутия), иностранных граждан, осуществляющих трудовую деятельность на основании патентов, по отдельным видам экономической деятельности»</w:t>
      </w:r>
    </w:p>
    <w:p w:rsidR="00B10C8E" w:rsidRPr="00B10C8E" w:rsidRDefault="00B10C8E" w:rsidP="00A72869">
      <w:pPr>
        <w:spacing w:before="150" w:after="0" w:line="240" w:lineRule="auto"/>
        <w:jc w:val="both"/>
        <w:rPr>
          <w:rFonts w:ascii="Times New Roman" w:eastAsia="Times New Roman" w:hAnsi="Times New Roman" w:cs="Times New Roman"/>
          <w:color w:val="0C0C0C"/>
          <w:sz w:val="28"/>
          <w:szCs w:val="28"/>
          <w:lang w:eastAsia="ru-RU"/>
        </w:rPr>
      </w:pPr>
      <w:r w:rsidRPr="00B10C8E">
        <w:rPr>
          <w:rFonts w:ascii="Times New Roman" w:eastAsia="Times New Roman" w:hAnsi="Times New Roman" w:cs="Times New Roman"/>
          <w:color w:val="0C0C0C"/>
          <w:sz w:val="28"/>
          <w:szCs w:val="28"/>
          <w:lang w:eastAsia="ru-RU"/>
        </w:rPr>
        <w:t> </w:t>
      </w:r>
    </w:p>
    <w:p w:rsidR="00B10C8E" w:rsidRPr="00B10C8E" w:rsidRDefault="00B10C8E" w:rsidP="00A72869">
      <w:pPr>
        <w:spacing w:after="0" w:line="240" w:lineRule="auto"/>
        <w:jc w:val="both"/>
        <w:rPr>
          <w:rFonts w:ascii="Times New Roman" w:eastAsia="Times New Roman" w:hAnsi="Times New Roman" w:cs="Times New Roman"/>
          <w:color w:val="0C0C0C"/>
          <w:sz w:val="28"/>
          <w:szCs w:val="28"/>
          <w:lang w:eastAsia="ru-RU"/>
        </w:rPr>
      </w:pPr>
      <w:r w:rsidRPr="00B10C8E">
        <w:rPr>
          <w:rFonts w:ascii="Times New Roman" w:eastAsia="Times New Roman" w:hAnsi="Times New Roman" w:cs="Times New Roman"/>
          <w:color w:val="0C0C0C"/>
          <w:sz w:val="28"/>
          <w:szCs w:val="28"/>
          <w:lang w:eastAsia="ru-RU"/>
        </w:rPr>
        <w:t>На основании пункта 6 статьи 18.1 Федерального закона от 25.07.2002 № 115-ФЗ «О правовом положении иностранных граждан в Российской Федерации» высшее должностное лицо субъекта Российской Федерации вправе ежегодно устанавливать запрет на привлечение хозяйствующими субъектами иностранных граждан, осуществляющих трудовую деятельность на основании </w:t>
      </w:r>
      <w:r w:rsidRPr="00A72869">
        <w:rPr>
          <w:rFonts w:ascii="Times New Roman" w:eastAsia="Times New Roman" w:hAnsi="Times New Roman" w:cs="Times New Roman"/>
          <w:b/>
          <w:bCs/>
          <w:color w:val="0C0C0C"/>
          <w:sz w:val="28"/>
          <w:szCs w:val="28"/>
          <w:lang w:eastAsia="ru-RU"/>
        </w:rPr>
        <w:t>патентов</w:t>
      </w:r>
      <w:r w:rsidRPr="00B10C8E">
        <w:rPr>
          <w:rFonts w:ascii="Times New Roman" w:eastAsia="Times New Roman" w:hAnsi="Times New Roman" w:cs="Times New Roman"/>
          <w:color w:val="0C0C0C"/>
          <w:sz w:val="28"/>
          <w:szCs w:val="28"/>
          <w:lang w:eastAsia="ru-RU"/>
        </w:rPr>
        <w:t> (далее - запрет).</w:t>
      </w:r>
    </w:p>
    <w:p w:rsidR="00B10C8E" w:rsidRPr="00B10C8E" w:rsidRDefault="00B10C8E" w:rsidP="00A72869">
      <w:pPr>
        <w:spacing w:before="150" w:after="0" w:line="240" w:lineRule="auto"/>
        <w:jc w:val="both"/>
        <w:rPr>
          <w:rFonts w:ascii="Times New Roman" w:eastAsia="Times New Roman" w:hAnsi="Times New Roman" w:cs="Times New Roman"/>
          <w:color w:val="0C0C0C"/>
          <w:sz w:val="28"/>
          <w:szCs w:val="28"/>
          <w:lang w:eastAsia="ru-RU"/>
        </w:rPr>
      </w:pPr>
      <w:r w:rsidRPr="00B10C8E">
        <w:rPr>
          <w:rFonts w:ascii="Times New Roman" w:eastAsia="Times New Roman" w:hAnsi="Times New Roman" w:cs="Times New Roman"/>
          <w:color w:val="0C0C0C"/>
          <w:sz w:val="28"/>
          <w:szCs w:val="28"/>
          <w:lang w:eastAsia="ru-RU"/>
        </w:rPr>
        <w:t>Введение запрета является одним из основных механизмов защиты национального рынка труда и приоритетного трудоустройства граждан Российской Федерации в рамках полномочий субъектов Российской Федерации.</w:t>
      </w:r>
    </w:p>
    <w:p w:rsidR="00B10C8E" w:rsidRPr="00A72869" w:rsidRDefault="00B10C8E" w:rsidP="00A72869">
      <w:pPr>
        <w:spacing w:after="0" w:line="240" w:lineRule="auto"/>
        <w:jc w:val="both"/>
        <w:rPr>
          <w:rFonts w:ascii="Times New Roman" w:eastAsia="Times New Roman" w:hAnsi="Times New Roman" w:cs="Times New Roman"/>
          <w:color w:val="0C0C0C"/>
          <w:sz w:val="28"/>
          <w:szCs w:val="28"/>
          <w:lang w:eastAsia="ru-RU"/>
        </w:rPr>
      </w:pPr>
      <w:r w:rsidRPr="00B10C8E">
        <w:rPr>
          <w:rFonts w:ascii="Times New Roman" w:eastAsia="Times New Roman" w:hAnsi="Times New Roman" w:cs="Times New Roman"/>
          <w:color w:val="0C0C0C"/>
          <w:sz w:val="28"/>
          <w:szCs w:val="28"/>
          <w:lang w:eastAsia="ru-RU"/>
        </w:rPr>
        <w:t>Согласно Указу Главы Республики Саха (Якутия) от 28.02.2024 № 220  «Об установлении на 2024 год запрета на привлечение хозяйствующими субъектами, осуществляющими деятельность на территории Республики Саха (Якутия), иностранных граждан, осуществляющих трудовую деятельность на основании патентов, по отдельным видам экономической деятельности» (далее – Указ) хозяйствующим субъектам, осуществляющим деятельность на территории республики по следующим видам экономической деятельности, запрещено привлекать иностранных граждан, осуществляющих трудовую деятельность на основании </w:t>
      </w:r>
      <w:r w:rsidRPr="00A72869">
        <w:rPr>
          <w:rFonts w:ascii="Times New Roman" w:eastAsia="Times New Roman" w:hAnsi="Times New Roman" w:cs="Times New Roman"/>
          <w:b/>
          <w:bCs/>
          <w:color w:val="0C0C0C"/>
          <w:sz w:val="28"/>
          <w:szCs w:val="28"/>
          <w:lang w:eastAsia="ru-RU"/>
        </w:rPr>
        <w:t>патентов</w:t>
      </w:r>
      <w:r w:rsidRPr="00B10C8E">
        <w:rPr>
          <w:rFonts w:ascii="Times New Roman" w:eastAsia="Times New Roman" w:hAnsi="Times New Roman" w:cs="Times New Roman"/>
          <w:color w:val="0C0C0C"/>
          <w:sz w:val="28"/>
          <w:szCs w:val="28"/>
          <w:lang w:eastAsia="ru-RU"/>
        </w:rPr>
        <w:t>:</w:t>
      </w:r>
    </w:p>
    <w:p w:rsidR="00B10C8E" w:rsidRPr="00B10C8E" w:rsidRDefault="00B10C8E" w:rsidP="00A72869">
      <w:pPr>
        <w:spacing w:after="0" w:line="240" w:lineRule="auto"/>
        <w:jc w:val="both"/>
        <w:rPr>
          <w:rFonts w:ascii="Times New Roman" w:eastAsia="Times New Roman" w:hAnsi="Times New Roman" w:cs="Times New Roman"/>
          <w:color w:val="0C0C0C"/>
          <w:sz w:val="28"/>
          <w:szCs w:val="28"/>
          <w:lang w:eastAsia="ru-RU"/>
        </w:rPr>
      </w:pPr>
    </w:p>
    <w:tbl>
      <w:tblPr>
        <w:tblW w:w="963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firstRow="1" w:lastRow="0" w:firstColumn="1" w:lastColumn="0" w:noHBand="0" w:noVBand="1"/>
      </w:tblPr>
      <w:tblGrid>
        <w:gridCol w:w="1126"/>
        <w:gridCol w:w="8505"/>
      </w:tblGrid>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01</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A72869"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 xml:space="preserve">Растениеводство и животноводство, охота и предоставление </w:t>
            </w:r>
          </w:p>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bookmarkStart w:id="0" w:name="_GoBack"/>
            <w:bookmarkEnd w:id="0"/>
            <w:r w:rsidRPr="00B10C8E">
              <w:rPr>
                <w:rFonts w:ascii="Times New Roman" w:eastAsia="Times New Roman" w:hAnsi="Times New Roman" w:cs="Times New Roman"/>
                <w:color w:val="2E4052"/>
                <w:sz w:val="28"/>
                <w:szCs w:val="28"/>
                <w:lang w:eastAsia="ru-RU"/>
              </w:rPr>
              <w:t>соответствующих услуг в этих областях</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02</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Лесоводство и лесозаготовки</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03</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Рыболовство и рыбоводство</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10</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Производство пищевых продуктов</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11</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Производство напитков</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12</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Производство табачных изделий</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13</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Производство текстильных изделий</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14</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Производство одежды</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15</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Производство кожи и изделий из кожи</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lastRenderedPageBreak/>
              <w:t>  31</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Производство мебели</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41.10</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Разработка строительных проектов</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43.11</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Разборка и снос зданий</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47</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Торговля розничная, кроме торговли автотранспортными средствами и мотоциклами</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49.32</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легкового такси и арендованных легковых автомобилей с водителем</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49.39</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прочего сухопутного пассажирского транспорта, не включённая в другие группировки</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49.41</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автомобильного грузового транспорта</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49.42</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Предоставление услуг по перевозкам</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52</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Складское хозяйство и вспомогательная транспортная деятельность</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53</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почтовой связи и курьерская деятельность</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55</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по предоставлению мест для временного проживания</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56</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по предоставлению продуктов питания и напитков</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68</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Операции с недвижимым имуществом</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69</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в области права и бухгалтерского учета</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70</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головных офисов; консультирование по вопросам управления</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71</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в области архитектуры и инженерно-технического проектирования; технических испытаний, исследований и анализа</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72</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Научные исследования и разработки</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73</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рекламная и исследование конъюнктуры рынка</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74</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профессиональная научная и техническая прочая</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85</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Образование</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86</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в области здравоохранения</w:t>
            </w:r>
          </w:p>
        </w:tc>
      </w:tr>
      <w:tr w:rsidR="00B10C8E" w:rsidRPr="00B10C8E" w:rsidTr="00A72869">
        <w:trPr>
          <w:trHeight w:val="360"/>
        </w:trPr>
        <w:tc>
          <w:tcPr>
            <w:tcW w:w="1126"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lastRenderedPageBreak/>
              <w:t>  87</w:t>
            </w:r>
          </w:p>
        </w:tc>
        <w:tc>
          <w:tcPr>
            <w:tcW w:w="850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Деятельность по уходу с обеспечением проживания</w:t>
            </w:r>
          </w:p>
        </w:tc>
      </w:tr>
      <w:tr w:rsidR="00B10C8E" w:rsidRPr="00B10C8E" w:rsidTr="00A72869">
        <w:trPr>
          <w:trHeight w:val="360"/>
        </w:trPr>
        <w:tc>
          <w:tcPr>
            <w:tcW w:w="1126" w:type="dxa"/>
            <w:tcBorders>
              <w:top w:val="single" w:sz="6" w:space="0" w:color="E4EDF9"/>
              <w:left w:val="single" w:sz="6" w:space="0" w:color="E4EDF9"/>
              <w:bottom w:val="outset" w:sz="2" w:space="0" w:color="auto"/>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A72869">
              <w:rPr>
                <w:rFonts w:ascii="Times New Roman" w:eastAsia="Times New Roman" w:hAnsi="Times New Roman" w:cs="Times New Roman"/>
                <w:b/>
                <w:bCs/>
                <w:color w:val="2E4052"/>
                <w:sz w:val="28"/>
                <w:szCs w:val="28"/>
                <w:lang w:eastAsia="ru-RU"/>
              </w:rPr>
              <w:t>  88</w:t>
            </w:r>
          </w:p>
        </w:tc>
        <w:tc>
          <w:tcPr>
            <w:tcW w:w="8505" w:type="dxa"/>
            <w:tcBorders>
              <w:top w:val="single" w:sz="6" w:space="0" w:color="E4EDF9"/>
              <w:left w:val="single" w:sz="6" w:space="0" w:color="E4EDF9"/>
              <w:bottom w:val="outset" w:sz="2" w:space="0" w:color="auto"/>
              <w:right w:val="single" w:sz="6" w:space="0" w:color="E4EDF9"/>
            </w:tcBorders>
            <w:shd w:val="clear" w:color="auto" w:fill="FFFFFF"/>
            <w:tcMar>
              <w:top w:w="120" w:type="dxa"/>
              <w:left w:w="150" w:type="dxa"/>
              <w:bottom w:w="135" w:type="dxa"/>
              <w:right w:w="150" w:type="dxa"/>
            </w:tcMar>
            <w:hideMark/>
          </w:tcPr>
          <w:p w:rsidR="00B10C8E" w:rsidRPr="00B10C8E" w:rsidRDefault="00B10C8E" w:rsidP="00A72869">
            <w:pPr>
              <w:spacing w:after="0" w:line="330" w:lineRule="atLeast"/>
              <w:jc w:val="both"/>
              <w:rPr>
                <w:rFonts w:ascii="Times New Roman" w:eastAsia="Times New Roman" w:hAnsi="Times New Roman" w:cs="Times New Roman"/>
                <w:color w:val="2E4052"/>
                <w:sz w:val="28"/>
                <w:szCs w:val="28"/>
                <w:lang w:eastAsia="ru-RU"/>
              </w:rPr>
            </w:pPr>
            <w:r w:rsidRPr="00B10C8E">
              <w:rPr>
                <w:rFonts w:ascii="Times New Roman" w:eastAsia="Times New Roman" w:hAnsi="Times New Roman" w:cs="Times New Roman"/>
                <w:color w:val="2E4052"/>
                <w:sz w:val="28"/>
                <w:szCs w:val="28"/>
                <w:lang w:eastAsia="ru-RU"/>
              </w:rPr>
              <w:t>Предоставление социальных услуг без обеспечения проживания</w:t>
            </w:r>
          </w:p>
        </w:tc>
      </w:tr>
    </w:tbl>
    <w:p w:rsidR="00B10C8E" w:rsidRPr="00B10C8E" w:rsidRDefault="00B10C8E" w:rsidP="00A72869">
      <w:pPr>
        <w:spacing w:before="150" w:after="0" w:line="240" w:lineRule="auto"/>
        <w:jc w:val="both"/>
        <w:rPr>
          <w:rFonts w:ascii="Times New Roman" w:eastAsia="Times New Roman" w:hAnsi="Times New Roman" w:cs="Times New Roman"/>
          <w:color w:val="0C0C0C"/>
          <w:sz w:val="28"/>
          <w:szCs w:val="28"/>
          <w:lang w:eastAsia="ru-RU"/>
        </w:rPr>
      </w:pPr>
      <w:r w:rsidRPr="00B10C8E">
        <w:rPr>
          <w:rFonts w:ascii="Times New Roman" w:eastAsia="Times New Roman" w:hAnsi="Times New Roman" w:cs="Times New Roman"/>
          <w:color w:val="0C0C0C"/>
          <w:sz w:val="28"/>
          <w:szCs w:val="28"/>
          <w:lang w:eastAsia="ru-RU"/>
        </w:rPr>
        <w:t>Запрет распространяется на всех работодателей, в том числе физических лиц, привлекающих работников для обеспечения личных, домашних и иных подобных нужд, не связанных с предпринимательской деятельностью.</w:t>
      </w:r>
    </w:p>
    <w:p w:rsidR="00B10C8E" w:rsidRPr="00B10C8E" w:rsidRDefault="00B10C8E" w:rsidP="00A72869">
      <w:pPr>
        <w:spacing w:before="150" w:after="0" w:line="240" w:lineRule="auto"/>
        <w:jc w:val="both"/>
        <w:rPr>
          <w:rFonts w:ascii="Times New Roman" w:eastAsia="Times New Roman" w:hAnsi="Times New Roman" w:cs="Times New Roman"/>
          <w:color w:val="0C0C0C"/>
          <w:sz w:val="28"/>
          <w:szCs w:val="28"/>
          <w:lang w:eastAsia="ru-RU"/>
        </w:rPr>
      </w:pPr>
      <w:r w:rsidRPr="00B10C8E">
        <w:rPr>
          <w:rFonts w:ascii="Times New Roman" w:eastAsia="Times New Roman" w:hAnsi="Times New Roman" w:cs="Times New Roman"/>
          <w:color w:val="0C0C0C"/>
          <w:sz w:val="28"/>
          <w:szCs w:val="28"/>
          <w:lang w:eastAsia="ru-RU"/>
        </w:rPr>
        <w:t>В случае, если работодатель заявил при государственной регистрации вид деятельности, указанный в перечне, в том числе в качестве дополнительного вида деятельности, то действие Указа распространяется на такого работодателя.</w:t>
      </w:r>
    </w:p>
    <w:p w:rsidR="00B10C8E" w:rsidRPr="00B10C8E" w:rsidRDefault="00B10C8E" w:rsidP="00A72869">
      <w:pPr>
        <w:spacing w:before="150" w:after="0" w:line="240" w:lineRule="auto"/>
        <w:jc w:val="both"/>
        <w:rPr>
          <w:rFonts w:ascii="Times New Roman" w:eastAsia="Times New Roman" w:hAnsi="Times New Roman" w:cs="Times New Roman"/>
          <w:color w:val="0C0C0C"/>
          <w:sz w:val="28"/>
          <w:szCs w:val="28"/>
          <w:lang w:eastAsia="ru-RU"/>
        </w:rPr>
      </w:pPr>
      <w:r w:rsidRPr="00B10C8E">
        <w:rPr>
          <w:rFonts w:ascii="Times New Roman" w:eastAsia="Times New Roman" w:hAnsi="Times New Roman" w:cs="Times New Roman"/>
          <w:color w:val="0C0C0C"/>
          <w:sz w:val="28"/>
          <w:szCs w:val="28"/>
          <w:lang w:eastAsia="ru-RU"/>
        </w:rPr>
        <w:t xml:space="preserve">Указом предусмотрен переходный период сроком в 3 месяца для завершения трудовых отношений с иностранными гражданами, занятыми в указанных сферах. Работодателям необходимо до 1 июня </w:t>
      </w:r>
      <w:proofErr w:type="spellStart"/>
      <w:r w:rsidRPr="00B10C8E">
        <w:rPr>
          <w:rFonts w:ascii="Times New Roman" w:eastAsia="Times New Roman" w:hAnsi="Times New Roman" w:cs="Times New Roman"/>
          <w:color w:val="0C0C0C"/>
          <w:sz w:val="28"/>
          <w:szCs w:val="28"/>
          <w:lang w:eastAsia="ru-RU"/>
        </w:rPr>
        <w:t>т.г</w:t>
      </w:r>
      <w:proofErr w:type="spellEnd"/>
      <w:r w:rsidRPr="00B10C8E">
        <w:rPr>
          <w:rFonts w:ascii="Times New Roman" w:eastAsia="Times New Roman" w:hAnsi="Times New Roman" w:cs="Times New Roman"/>
          <w:color w:val="0C0C0C"/>
          <w:sz w:val="28"/>
          <w:szCs w:val="28"/>
          <w:lang w:eastAsia="ru-RU"/>
        </w:rPr>
        <w:t>. привести численность используемых ими иностранных работников в соответствие с введенным ограничением.</w:t>
      </w:r>
    </w:p>
    <w:p w:rsidR="00B10C8E" w:rsidRPr="00B10C8E" w:rsidRDefault="00B10C8E" w:rsidP="00A72869">
      <w:pPr>
        <w:spacing w:before="150" w:after="0" w:line="240" w:lineRule="auto"/>
        <w:jc w:val="both"/>
        <w:rPr>
          <w:rFonts w:ascii="Times New Roman" w:eastAsia="Times New Roman" w:hAnsi="Times New Roman" w:cs="Times New Roman"/>
          <w:color w:val="0C0C0C"/>
          <w:sz w:val="28"/>
          <w:szCs w:val="28"/>
          <w:lang w:eastAsia="ru-RU"/>
        </w:rPr>
      </w:pPr>
      <w:r w:rsidRPr="00B10C8E">
        <w:rPr>
          <w:rFonts w:ascii="Times New Roman" w:eastAsia="Times New Roman" w:hAnsi="Times New Roman" w:cs="Times New Roman"/>
          <w:color w:val="0C0C0C"/>
          <w:sz w:val="28"/>
          <w:szCs w:val="28"/>
          <w:lang w:eastAsia="ru-RU"/>
        </w:rPr>
        <w:t>Запрет не распространяется на иностранных граждан временно и постоянно проживающих на территории республики, граждан, прибывающих из стран государств–членов Евразийского экономического союза, а также граждан, прибывающих из стран с визовым порядком въезда.</w:t>
      </w:r>
    </w:p>
    <w:p w:rsidR="00B10C8E" w:rsidRPr="00B10C8E" w:rsidRDefault="00B10C8E" w:rsidP="00A72869">
      <w:pPr>
        <w:spacing w:before="150" w:after="0" w:line="240" w:lineRule="auto"/>
        <w:jc w:val="both"/>
        <w:rPr>
          <w:rFonts w:ascii="Times New Roman" w:eastAsia="Times New Roman" w:hAnsi="Times New Roman" w:cs="Times New Roman"/>
          <w:color w:val="0C0C0C"/>
          <w:sz w:val="28"/>
          <w:szCs w:val="28"/>
          <w:lang w:eastAsia="ru-RU"/>
        </w:rPr>
      </w:pPr>
      <w:r w:rsidRPr="00B10C8E">
        <w:rPr>
          <w:rFonts w:ascii="Times New Roman" w:eastAsia="Times New Roman" w:hAnsi="Times New Roman" w:cs="Times New Roman"/>
          <w:color w:val="0C0C0C"/>
          <w:sz w:val="28"/>
          <w:szCs w:val="28"/>
          <w:lang w:eastAsia="ru-RU"/>
        </w:rPr>
        <w:t>Несоблюдение работодателем или заказчиком работ (услуг) установленных в отношении иностранных граждан и лиц без гражданства ограничений на осуществление отдельных видов деятельности влечет административную ответственность по ч. 1 ст. 18.17 КоАП.</w:t>
      </w:r>
    </w:p>
    <w:p w:rsidR="00B10C8E" w:rsidRPr="00A72869" w:rsidRDefault="00B10C8E" w:rsidP="00A72869">
      <w:pPr>
        <w:jc w:val="both"/>
        <w:rPr>
          <w:rFonts w:ascii="Times New Roman" w:hAnsi="Times New Roman" w:cs="Times New Roman"/>
          <w:sz w:val="28"/>
          <w:szCs w:val="28"/>
        </w:rPr>
      </w:pPr>
    </w:p>
    <w:sectPr w:rsidR="00B10C8E" w:rsidRPr="00A72869" w:rsidSect="00B10C8E">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8E"/>
    <w:rsid w:val="00A72869"/>
    <w:rsid w:val="00B10C8E"/>
    <w:rsid w:val="00FF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CFCF"/>
  <w15:chartTrackingRefBased/>
  <w15:docId w15:val="{392D7121-7DE7-4ABE-96AF-C838B7DB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Корепанова Наталья Юрьевна</dc:creator>
  <cp:keywords/>
  <dc:description/>
  <cp:lastModifiedBy>Корепанова Наталья Юрьевна</cp:lastModifiedBy>
  <cp:revision>2</cp:revision>
  <dcterms:created xsi:type="dcterms:W3CDTF">2024-08-06T03:29:00Z</dcterms:created>
  <dcterms:modified xsi:type="dcterms:W3CDTF">2024-08-06T03:29:00Z</dcterms:modified>
</cp:coreProperties>
</file>